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天津盛世永业科技发展有限公司</w:t>
      </w:r>
      <w:r>
        <w:rPr>
          <w:rFonts w:eastAsia="方正小标宋_GBK"/>
          <w:sz w:val="44"/>
          <w:szCs w:val="44"/>
        </w:rPr>
        <w:t>飞行检查结果</w:t>
      </w:r>
    </w:p>
    <w:p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152"/>
        <w:gridCol w:w="2385"/>
        <w:gridCol w:w="3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7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天津盛世永业科技发展有限公司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津妆20160001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社会信用代码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（组织机构代码）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91120223668831162E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天津市静海区静海经济开发区银海道15号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天津市</w:t>
            </w:r>
            <w:r>
              <w:rPr>
                <w:rFonts w:eastAsia="仿宋_GB2312"/>
                <w:sz w:val="28"/>
                <w:szCs w:val="28"/>
              </w:rPr>
              <w:t>药品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化妆品审评</w:t>
            </w:r>
            <w:r>
              <w:rPr>
                <w:rFonts w:eastAsia="仿宋_GB2312"/>
                <w:sz w:val="28"/>
                <w:szCs w:val="28"/>
              </w:rPr>
              <w:t>查验中心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《化妆品监督管理条例》《化妆品生产质量管理规范》</w:t>
            </w:r>
          </w:p>
          <w:p>
            <w:pPr>
              <w:snapToGrid w:val="0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《化妆品生产质量管理规范检查要点及判定原则》等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line="40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在质量保证与控制方面存在原料取用记录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更改处签字不规范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厂房设施与设备管理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方面存在配料间称重设备未放置操作规程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物料与产品管理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方面存在不能提供物料代码管理规程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9"/>
                <w:szCs w:val="29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属地监管部门监督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/>
              </w:rPr>
              <w:t>企业进行整改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整改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结果及时报告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药监局。</w:t>
            </w:r>
          </w:p>
          <w:p>
            <w:pPr>
              <w:pStyle w:val="6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9"/>
                <w:szCs w:val="29"/>
                <w:lang w:val="en"/>
              </w:rPr>
              <w:t>2.对检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查中发现的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不符合规定项目和问题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第三监管办公室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监督企业完成整改，相关情况已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药监局。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748" w:type="dxa"/>
            <w:gridSpan w:val="3"/>
            <w:tcBorders>
              <w:top w:val="outset" w:color="auto" w:sz="6" w:space="0"/>
              <w:left w:val="single" w:color="auto" w:sz="0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OTE0YzBmYmIwMWM0MzRlY2UxMzBjNjhjNTQzYTAifQ=="/>
  </w:docVars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62EE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42BFF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FFE97AF"/>
    <w:rsid w:val="10925006"/>
    <w:rsid w:val="12681CD2"/>
    <w:rsid w:val="15876354"/>
    <w:rsid w:val="1616507C"/>
    <w:rsid w:val="1A7D195C"/>
    <w:rsid w:val="1B7E27A1"/>
    <w:rsid w:val="1D9E7F1B"/>
    <w:rsid w:val="1DCD63FD"/>
    <w:rsid w:val="1F476BE4"/>
    <w:rsid w:val="1FD7F243"/>
    <w:rsid w:val="1FEFCD7B"/>
    <w:rsid w:val="23F33558"/>
    <w:rsid w:val="23F56E8C"/>
    <w:rsid w:val="2A15789A"/>
    <w:rsid w:val="2F7D2DAF"/>
    <w:rsid w:val="33DD5436"/>
    <w:rsid w:val="36DF313F"/>
    <w:rsid w:val="39AF4513"/>
    <w:rsid w:val="3A813A18"/>
    <w:rsid w:val="3AE77D51"/>
    <w:rsid w:val="3B5A7EFF"/>
    <w:rsid w:val="3B5BCD13"/>
    <w:rsid w:val="3DF73AE8"/>
    <w:rsid w:val="3F3F3AF7"/>
    <w:rsid w:val="3FF78517"/>
    <w:rsid w:val="43C81362"/>
    <w:rsid w:val="447332F0"/>
    <w:rsid w:val="45386969"/>
    <w:rsid w:val="45492E01"/>
    <w:rsid w:val="466F7F34"/>
    <w:rsid w:val="51CA70D7"/>
    <w:rsid w:val="57D554D6"/>
    <w:rsid w:val="57FF7D26"/>
    <w:rsid w:val="5BDC7314"/>
    <w:rsid w:val="5DDE8A5D"/>
    <w:rsid w:val="5E0FDC58"/>
    <w:rsid w:val="5E3F1DF6"/>
    <w:rsid w:val="5F4FEAB9"/>
    <w:rsid w:val="5F7FF445"/>
    <w:rsid w:val="5F8C32F3"/>
    <w:rsid w:val="5FB65EF8"/>
    <w:rsid w:val="5FDFA577"/>
    <w:rsid w:val="5FF968A2"/>
    <w:rsid w:val="5FFF8AB9"/>
    <w:rsid w:val="625C843E"/>
    <w:rsid w:val="65946B0A"/>
    <w:rsid w:val="6A97A616"/>
    <w:rsid w:val="6AFF974E"/>
    <w:rsid w:val="6BFE3851"/>
    <w:rsid w:val="6DDBB72D"/>
    <w:rsid w:val="6FFF240B"/>
    <w:rsid w:val="6FFFA2D7"/>
    <w:rsid w:val="7249798C"/>
    <w:rsid w:val="73FE3393"/>
    <w:rsid w:val="755D8896"/>
    <w:rsid w:val="758F27DE"/>
    <w:rsid w:val="75D2BB8B"/>
    <w:rsid w:val="773E9E83"/>
    <w:rsid w:val="775A4F4F"/>
    <w:rsid w:val="777E90E9"/>
    <w:rsid w:val="78BF0B6A"/>
    <w:rsid w:val="790C7B25"/>
    <w:rsid w:val="79FD176F"/>
    <w:rsid w:val="7ABA0AE5"/>
    <w:rsid w:val="7BAEDFA2"/>
    <w:rsid w:val="7BBF30EB"/>
    <w:rsid w:val="7BCE8AC5"/>
    <w:rsid w:val="7BF72745"/>
    <w:rsid w:val="7D3A6D0F"/>
    <w:rsid w:val="7DDB8D53"/>
    <w:rsid w:val="7E6AD92B"/>
    <w:rsid w:val="7E9D4CE6"/>
    <w:rsid w:val="7EA300DD"/>
    <w:rsid w:val="7EDF106C"/>
    <w:rsid w:val="7EEF9792"/>
    <w:rsid w:val="7EF5A0DA"/>
    <w:rsid w:val="7FDEA2EC"/>
    <w:rsid w:val="7FF5BDF7"/>
    <w:rsid w:val="7FFE6275"/>
    <w:rsid w:val="8DB9A67A"/>
    <w:rsid w:val="9CDFA84D"/>
    <w:rsid w:val="9D756B6B"/>
    <w:rsid w:val="9DFBA698"/>
    <w:rsid w:val="9FFF1EBD"/>
    <w:rsid w:val="A65A1DA3"/>
    <w:rsid w:val="AFDE0D8C"/>
    <w:rsid w:val="AFEE9EFC"/>
    <w:rsid w:val="AFF14810"/>
    <w:rsid w:val="BEFFF1C6"/>
    <w:rsid w:val="BFF58DFF"/>
    <w:rsid w:val="C7B564F2"/>
    <w:rsid w:val="D4FF9B59"/>
    <w:rsid w:val="D5FDF3EF"/>
    <w:rsid w:val="D7DF1E7E"/>
    <w:rsid w:val="DAED076C"/>
    <w:rsid w:val="DBB6B639"/>
    <w:rsid w:val="DDFA7FF3"/>
    <w:rsid w:val="DEFB516F"/>
    <w:rsid w:val="DF38FB72"/>
    <w:rsid w:val="DFFF2800"/>
    <w:rsid w:val="E4D51B74"/>
    <w:rsid w:val="E7DF78C5"/>
    <w:rsid w:val="EB7B2CB2"/>
    <w:rsid w:val="EE7849DA"/>
    <w:rsid w:val="EEFF2731"/>
    <w:rsid w:val="EF371A59"/>
    <w:rsid w:val="EF9FE8A2"/>
    <w:rsid w:val="EFBE4AB4"/>
    <w:rsid w:val="EFDF523E"/>
    <w:rsid w:val="F25DFAC1"/>
    <w:rsid w:val="F3FF2F59"/>
    <w:rsid w:val="F53DE3BB"/>
    <w:rsid w:val="F57EC8F6"/>
    <w:rsid w:val="F73290BB"/>
    <w:rsid w:val="F7EB2446"/>
    <w:rsid w:val="F7FDD2CB"/>
    <w:rsid w:val="F7FFF83B"/>
    <w:rsid w:val="FAEB2FD0"/>
    <w:rsid w:val="FDFF638A"/>
    <w:rsid w:val="FED74C3F"/>
    <w:rsid w:val="FEF81FB4"/>
    <w:rsid w:val="FF1DB6C7"/>
    <w:rsid w:val="FF47828D"/>
    <w:rsid w:val="FF6F6A71"/>
    <w:rsid w:val="FF7FAE0D"/>
    <w:rsid w:val="FF7FE288"/>
    <w:rsid w:val="FF9F80E5"/>
    <w:rsid w:val="FFA0BA5B"/>
    <w:rsid w:val="FFB77662"/>
    <w:rsid w:val="FFB8CE71"/>
    <w:rsid w:val="FFE6BDD6"/>
    <w:rsid w:val="FFFBDFAF"/>
    <w:rsid w:val="FFFDD7E5"/>
    <w:rsid w:val="FFFE9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autoRedefine/>
    <w:qFormat/>
    <w:uiPriority w:val="0"/>
  </w:style>
  <w:style w:type="character" w:customStyle="1" w:styleId="10">
    <w:name w:val="页脚 Char"/>
    <w:link w:val="4"/>
    <w:autoRedefine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101</Words>
  <Characters>582</Characters>
  <Lines>4</Lines>
  <Paragraphs>1</Paragraphs>
  <TotalTime>14</TotalTime>
  <ScaleCrop>false</ScaleCrop>
  <LinksUpToDate>false</LinksUpToDate>
  <CharactersWithSpaces>682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2023-09-22T08:42:00Z</dcterms:created>
  <dc:creator>Xtzj.User</dc:creator>
  <cp:lastModifiedBy>Woody</cp:lastModifiedBy>
  <cp:lastPrinted>2023-09-22T23:05:00Z</cp:lastPrinted>
  <dcterms:modified xsi:type="dcterms:W3CDTF">2024-01-16T10:20:54Z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960871FBE2D049E19E7814A587F533B5_13</vt:lpwstr>
  </property>
</Properties>
</file>